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5E" w:rsidRPr="00D1125E" w:rsidRDefault="00D1125E" w:rsidP="009E0A8E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125E">
        <w:rPr>
          <w:rFonts w:ascii="Arial" w:hAnsi="Arial" w:cs="Arial"/>
          <w:sz w:val="22"/>
          <w:szCs w:val="22"/>
        </w:rPr>
        <w:t xml:space="preserve">The </w:t>
      </w:r>
      <w:r w:rsidRPr="00D1125E">
        <w:rPr>
          <w:rFonts w:ascii="Arial" w:hAnsi="Arial" w:cs="Arial"/>
          <w:i/>
          <w:sz w:val="22"/>
          <w:szCs w:val="22"/>
        </w:rPr>
        <w:t>Transport Operations (Marine Pollution) Regulation 1995</w:t>
      </w:r>
      <w:r w:rsidRPr="00D1125E">
        <w:rPr>
          <w:rFonts w:ascii="Arial" w:hAnsi="Arial" w:cs="Arial"/>
          <w:sz w:val="22"/>
          <w:szCs w:val="22"/>
        </w:rPr>
        <w:t xml:space="preserve"> </w:t>
      </w:r>
      <w:r w:rsidR="00490117">
        <w:rPr>
          <w:rFonts w:ascii="Arial" w:hAnsi="Arial" w:cs="Arial"/>
          <w:sz w:val="22"/>
          <w:szCs w:val="22"/>
        </w:rPr>
        <w:t>(the Regulation) commenced on 9 </w:t>
      </w:r>
      <w:r w:rsidRPr="00D1125E">
        <w:rPr>
          <w:rFonts w:ascii="Arial" w:hAnsi="Arial" w:cs="Arial"/>
          <w:sz w:val="22"/>
          <w:szCs w:val="22"/>
        </w:rPr>
        <w:t xml:space="preserve">November 1995. Part 7 of the </w:t>
      </w:r>
      <w:r w:rsidRPr="00D1125E">
        <w:rPr>
          <w:rFonts w:ascii="Arial" w:hAnsi="Arial" w:cs="Arial"/>
          <w:i/>
          <w:sz w:val="22"/>
          <w:szCs w:val="22"/>
        </w:rPr>
        <w:t xml:space="preserve">Statutory Instruments Act 1992 </w:t>
      </w:r>
      <w:r w:rsidRPr="00D1125E">
        <w:rPr>
          <w:rFonts w:ascii="Arial" w:hAnsi="Arial" w:cs="Arial"/>
          <w:sz w:val="22"/>
          <w:szCs w:val="22"/>
        </w:rPr>
        <w:t>provides that</w:t>
      </w:r>
      <w:r w:rsidRPr="00D1125E">
        <w:rPr>
          <w:rFonts w:ascii="Arial" w:hAnsi="Arial" w:cs="Arial"/>
          <w:i/>
          <w:sz w:val="22"/>
          <w:szCs w:val="22"/>
        </w:rPr>
        <w:t xml:space="preserve"> </w:t>
      </w:r>
      <w:r w:rsidRPr="00D1125E">
        <w:rPr>
          <w:rFonts w:ascii="Arial" w:hAnsi="Arial" w:cs="Arial"/>
          <w:sz w:val="22"/>
          <w:szCs w:val="22"/>
        </w:rPr>
        <w:t>all subordinate legislation expires 10 years after its making unless otherwise exempted.</w:t>
      </w:r>
    </w:p>
    <w:p w:rsidR="00D1125E" w:rsidRPr="00D1125E" w:rsidRDefault="00D1125E" w:rsidP="009E0A8E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1125E">
        <w:rPr>
          <w:rFonts w:ascii="Arial" w:hAnsi="Arial" w:cs="Arial"/>
          <w:sz w:val="22"/>
          <w:szCs w:val="22"/>
        </w:rPr>
        <w:t xml:space="preserve">The Regulation was scheduled for automatic expiry on 1 September 2006. </w:t>
      </w:r>
      <w:r>
        <w:rPr>
          <w:rFonts w:ascii="Arial" w:hAnsi="Arial" w:cs="Arial"/>
          <w:sz w:val="22"/>
          <w:szCs w:val="22"/>
        </w:rPr>
        <w:t xml:space="preserve"> </w:t>
      </w:r>
      <w:r w:rsidRPr="00D1125E">
        <w:rPr>
          <w:rFonts w:ascii="Arial" w:hAnsi="Arial" w:cs="Arial"/>
          <w:sz w:val="22"/>
          <w:szCs w:val="22"/>
        </w:rPr>
        <w:t>An exemptio</w:t>
      </w:r>
      <w:r w:rsidR="00E017FB">
        <w:rPr>
          <w:rFonts w:ascii="Arial" w:hAnsi="Arial" w:cs="Arial"/>
          <w:sz w:val="22"/>
          <w:szCs w:val="22"/>
        </w:rPr>
        <w:t>n</w:t>
      </w:r>
      <w:r w:rsidRPr="00D1125E">
        <w:rPr>
          <w:rFonts w:ascii="Arial" w:hAnsi="Arial" w:cs="Arial"/>
          <w:sz w:val="22"/>
          <w:szCs w:val="22"/>
        </w:rPr>
        <w:t xml:space="preserve"> expiry was approved to allow time for thorough consultation through the regulatory impact statement (RIS) process.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125E" w:rsidRPr="00D1125E" w:rsidRDefault="00D1125E" w:rsidP="009E0A8E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1125E">
        <w:rPr>
          <w:rFonts w:ascii="Arial" w:hAnsi="Arial" w:cs="Arial"/>
          <w:sz w:val="22"/>
          <w:szCs w:val="22"/>
        </w:rPr>
        <w:t>n January 2007</w:t>
      </w:r>
      <w:r>
        <w:rPr>
          <w:rFonts w:ascii="Arial" w:hAnsi="Arial" w:cs="Arial"/>
          <w:sz w:val="22"/>
          <w:szCs w:val="22"/>
        </w:rPr>
        <w:t>, s</w:t>
      </w:r>
      <w:r w:rsidRPr="00D1125E">
        <w:rPr>
          <w:rFonts w:ascii="Arial" w:hAnsi="Arial" w:cs="Arial"/>
          <w:sz w:val="22"/>
          <w:szCs w:val="22"/>
        </w:rPr>
        <w:t>ignificant changes were made to the text of the International Convention for the Prevention of Pollution from Ships, 1973 (commonly known as MARPOL)</w:t>
      </w:r>
      <w:r w:rsidR="00E017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</w:t>
      </w:r>
      <w:r w:rsidRPr="00D1125E">
        <w:rPr>
          <w:rFonts w:ascii="Arial" w:hAnsi="Arial" w:cs="Arial"/>
          <w:sz w:val="22"/>
          <w:szCs w:val="22"/>
        </w:rPr>
        <w:t xml:space="preserve"> necessitated changes to the </w:t>
      </w:r>
      <w:r w:rsidRPr="00D1125E">
        <w:rPr>
          <w:rFonts w:ascii="Arial" w:hAnsi="Arial" w:cs="Arial"/>
          <w:i/>
          <w:sz w:val="22"/>
          <w:szCs w:val="22"/>
        </w:rPr>
        <w:t>Transport Operations (Marine Pollution) Act 1995</w:t>
      </w:r>
      <w:r w:rsidRPr="00D1125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490117">
        <w:rPr>
          <w:rFonts w:ascii="Arial" w:hAnsi="Arial" w:cs="Arial"/>
          <w:sz w:val="22"/>
          <w:szCs w:val="22"/>
        </w:rPr>
        <w:t>A</w:t>
      </w:r>
      <w:r w:rsidRPr="00D1125E">
        <w:rPr>
          <w:rFonts w:ascii="Arial" w:hAnsi="Arial" w:cs="Arial"/>
          <w:sz w:val="22"/>
          <w:szCs w:val="22"/>
        </w:rPr>
        <w:t xml:space="preserve"> second extension preserved the Regulation until </w:t>
      </w:r>
      <w:r>
        <w:rPr>
          <w:rFonts w:ascii="Arial" w:hAnsi="Arial" w:cs="Arial"/>
          <w:sz w:val="22"/>
          <w:szCs w:val="22"/>
        </w:rPr>
        <w:t>31 </w:t>
      </w:r>
      <w:r w:rsidRPr="00D1125E">
        <w:rPr>
          <w:rFonts w:ascii="Arial" w:hAnsi="Arial" w:cs="Arial"/>
          <w:sz w:val="22"/>
          <w:szCs w:val="22"/>
        </w:rPr>
        <w:t xml:space="preserve">August 2008. </w:t>
      </w:r>
    </w:p>
    <w:p w:rsidR="00D1125E" w:rsidRPr="00D1125E" w:rsidRDefault="00D1125E" w:rsidP="009E0A8E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1125E">
        <w:rPr>
          <w:rFonts w:ascii="Arial" w:hAnsi="Arial" w:cs="Arial"/>
          <w:sz w:val="22"/>
          <w:szCs w:val="22"/>
        </w:rPr>
        <w:t xml:space="preserve">The new Regulation has been drafted in accordance with the outcomes of a review into the appropriateness and applicability of the Regulation and primary legislation changes. The new Regulation remains largely unchanged from the 1995 Regulation. </w:t>
      </w:r>
    </w:p>
    <w:p w:rsidR="00E017FB" w:rsidRDefault="00D1125E" w:rsidP="00E017FB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1125E">
        <w:rPr>
          <w:rFonts w:ascii="Arial" w:hAnsi="Arial" w:cs="Arial"/>
          <w:sz w:val="22"/>
          <w:szCs w:val="22"/>
        </w:rPr>
        <w:t>The Regulation includes some new and amended provisions that help minimise deliberate and negligent discharges of ship-sourced sewage into coastal waters by requiring ships to not only comply with discharge standards contained within the Regulation, but to also ensure that the ship</w:t>
      </w:r>
      <w:r w:rsidR="004B5798">
        <w:rPr>
          <w:rFonts w:ascii="Arial" w:hAnsi="Arial" w:cs="Arial"/>
          <w:sz w:val="22"/>
          <w:szCs w:val="22"/>
        </w:rPr>
        <w:t xml:space="preserve"> </w:t>
      </w:r>
      <w:r w:rsidRPr="00D1125E">
        <w:rPr>
          <w:rFonts w:ascii="Arial" w:hAnsi="Arial" w:cs="Arial"/>
          <w:sz w:val="22"/>
          <w:szCs w:val="22"/>
        </w:rPr>
        <w:t>has sewage management equipment onboard that complies with the Regulation.</w:t>
      </w:r>
      <w:r w:rsidR="004B5798">
        <w:rPr>
          <w:rFonts w:ascii="Arial" w:hAnsi="Arial" w:cs="Arial"/>
          <w:sz w:val="22"/>
          <w:szCs w:val="22"/>
        </w:rPr>
        <w:t xml:space="preserve"> </w:t>
      </w:r>
      <w:r w:rsidRPr="00D1125E">
        <w:rPr>
          <w:rFonts w:ascii="Arial" w:hAnsi="Arial" w:cs="Arial"/>
          <w:sz w:val="22"/>
          <w:szCs w:val="22"/>
        </w:rPr>
        <w:t xml:space="preserve">Changes have also been made to enable Maritime Safety Queensland or a port authority to appoint employees, such as contractors, who have the necessary skills and knowledge to undertake some functions of an authorised officer. </w:t>
      </w:r>
    </w:p>
    <w:p w:rsidR="00DF127E" w:rsidRDefault="00E017FB" w:rsidP="00E017FB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1125E" w:rsidRPr="00D1125E">
        <w:rPr>
          <w:rFonts w:ascii="Arial" w:hAnsi="Arial" w:cs="Arial"/>
          <w:sz w:val="22"/>
          <w:szCs w:val="22"/>
        </w:rPr>
        <w:t>he return of responsibility for oil spill response in ports from port authorities to Maritim</w:t>
      </w:r>
      <w:r>
        <w:rPr>
          <w:rFonts w:ascii="Arial" w:hAnsi="Arial" w:cs="Arial"/>
          <w:sz w:val="22"/>
          <w:szCs w:val="22"/>
        </w:rPr>
        <w:t xml:space="preserve">e </w:t>
      </w:r>
      <w:r w:rsidR="00D1125E" w:rsidRPr="00D1125E">
        <w:rPr>
          <w:rFonts w:ascii="Arial" w:hAnsi="Arial" w:cs="Arial"/>
          <w:sz w:val="22"/>
          <w:szCs w:val="22"/>
        </w:rPr>
        <w:t>Safety</w:t>
      </w:r>
      <w:r>
        <w:rPr>
          <w:rFonts w:ascii="Arial" w:hAnsi="Arial" w:cs="Arial"/>
          <w:sz w:val="22"/>
          <w:szCs w:val="22"/>
        </w:rPr>
        <w:t xml:space="preserve"> </w:t>
      </w:r>
      <w:r w:rsidR="00D1125E" w:rsidRPr="00D1125E">
        <w:rPr>
          <w:rFonts w:ascii="Arial" w:hAnsi="Arial" w:cs="Arial"/>
          <w:sz w:val="22"/>
          <w:szCs w:val="22"/>
        </w:rPr>
        <w:t xml:space="preserve">Queensland has necessitated a number of minor changes to adjust references to port authorities. </w:t>
      </w:r>
      <w:r w:rsidR="00490117" w:rsidRPr="00490117">
        <w:rPr>
          <w:rFonts w:ascii="Arial" w:hAnsi="Arial" w:cs="Arial"/>
          <w:sz w:val="22"/>
          <w:szCs w:val="22"/>
          <w:u w:val="single"/>
        </w:rPr>
        <w:t>Cabinet approved</w:t>
      </w:r>
      <w:r w:rsidR="00490117" w:rsidRPr="00490117">
        <w:rPr>
          <w:rFonts w:ascii="Arial" w:hAnsi="Arial" w:cs="Arial"/>
          <w:sz w:val="22"/>
          <w:szCs w:val="22"/>
        </w:rPr>
        <w:t xml:space="preserve"> </w:t>
      </w:r>
      <w:r w:rsidR="00490117" w:rsidRPr="00D1125E">
        <w:rPr>
          <w:rFonts w:ascii="Arial" w:hAnsi="Arial" w:cs="Arial"/>
          <w:sz w:val="22"/>
          <w:szCs w:val="22"/>
        </w:rPr>
        <w:t xml:space="preserve">that the </w:t>
      </w:r>
      <w:r w:rsidR="00490117" w:rsidRPr="00490117">
        <w:rPr>
          <w:rFonts w:ascii="Arial" w:hAnsi="Arial" w:cs="Arial"/>
          <w:i/>
          <w:sz w:val="22"/>
          <w:szCs w:val="22"/>
        </w:rPr>
        <w:t>Transport Operations (Marine Pollution) Regulation 2008</w:t>
      </w:r>
      <w:r w:rsidR="00490117" w:rsidRPr="00D1125E">
        <w:rPr>
          <w:rFonts w:ascii="Arial" w:hAnsi="Arial" w:cs="Arial"/>
          <w:sz w:val="22"/>
          <w:szCs w:val="22"/>
        </w:rPr>
        <w:t xml:space="preserve"> be recommended to the Governor in Council for approv</w:t>
      </w:r>
      <w:r w:rsidR="00490117">
        <w:rPr>
          <w:rFonts w:ascii="Arial" w:hAnsi="Arial" w:cs="Arial"/>
          <w:sz w:val="22"/>
          <w:szCs w:val="22"/>
        </w:rPr>
        <w:t>al.</w:t>
      </w:r>
    </w:p>
    <w:p w:rsidR="00CE6FBA" w:rsidRDefault="00D1125E" w:rsidP="00E017FB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90117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D1125E">
        <w:rPr>
          <w:rFonts w:ascii="Arial" w:hAnsi="Arial" w:cs="Arial"/>
          <w:sz w:val="22"/>
          <w:szCs w:val="22"/>
        </w:rPr>
        <w:t xml:space="preserve">that the </w:t>
      </w:r>
      <w:r w:rsidRPr="00490117">
        <w:rPr>
          <w:rFonts w:ascii="Arial" w:hAnsi="Arial" w:cs="Arial"/>
          <w:i/>
          <w:sz w:val="22"/>
          <w:szCs w:val="22"/>
        </w:rPr>
        <w:t>Transport Operations (Marine Pollution) Regulation 2008</w:t>
      </w:r>
      <w:r w:rsidRPr="00D1125E">
        <w:rPr>
          <w:rFonts w:ascii="Arial" w:hAnsi="Arial" w:cs="Arial"/>
          <w:sz w:val="22"/>
          <w:szCs w:val="22"/>
        </w:rPr>
        <w:t xml:space="preserve"> be laid before the Legislative Assembly within 14 sitting days after publication in the </w:t>
      </w:r>
      <w:smartTag w:uri="urn:schemas-microsoft-com:office:smarttags" w:element="State">
        <w:smartTag w:uri="urn:schemas-microsoft-com:office:smarttags" w:element="place">
          <w:r w:rsidRPr="00E017FB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E017FB">
        <w:rPr>
          <w:rFonts w:ascii="Arial" w:hAnsi="Arial" w:cs="Arial"/>
          <w:sz w:val="22"/>
          <w:szCs w:val="22"/>
        </w:rPr>
        <w:t xml:space="preserve"> </w:t>
      </w:r>
      <w:r w:rsidR="00490117">
        <w:rPr>
          <w:rFonts w:ascii="Arial" w:hAnsi="Arial" w:cs="Arial"/>
          <w:sz w:val="22"/>
          <w:szCs w:val="22"/>
        </w:rPr>
        <w:t>Go</w:t>
      </w:r>
      <w:r w:rsidRPr="00E017FB">
        <w:rPr>
          <w:rFonts w:ascii="Arial" w:hAnsi="Arial" w:cs="Arial"/>
          <w:sz w:val="22"/>
          <w:szCs w:val="22"/>
        </w:rPr>
        <w:t>vernment Gazette</w:t>
      </w:r>
      <w:r w:rsidRPr="00D1125E">
        <w:rPr>
          <w:rFonts w:ascii="Arial" w:hAnsi="Arial" w:cs="Arial"/>
          <w:sz w:val="22"/>
          <w:szCs w:val="22"/>
        </w:rPr>
        <w:t>.</w:t>
      </w:r>
    </w:p>
    <w:p w:rsidR="00490117" w:rsidRPr="00E017FB" w:rsidRDefault="00490117" w:rsidP="00490117">
      <w:pPr>
        <w:jc w:val="both"/>
        <w:rPr>
          <w:rFonts w:ascii="Arial" w:hAnsi="Arial" w:cs="Arial"/>
          <w:sz w:val="22"/>
          <w:szCs w:val="22"/>
        </w:rPr>
      </w:pPr>
    </w:p>
    <w:p w:rsidR="00EA00BF" w:rsidRPr="00490117" w:rsidRDefault="00EA00BF" w:rsidP="00490117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490117">
        <w:rPr>
          <w:rFonts w:ascii="Arial" w:hAnsi="Arial" w:cs="Arial"/>
          <w:i/>
          <w:sz w:val="22"/>
          <w:szCs w:val="22"/>
        </w:rPr>
        <w:t>Attachments</w:t>
      </w:r>
    </w:p>
    <w:p w:rsidR="006D0869" w:rsidRPr="004D7943" w:rsidRDefault="0086453D" w:rsidP="006B2109">
      <w:pPr>
        <w:numPr>
          <w:ilvl w:val="0"/>
          <w:numId w:val="8"/>
        </w:numPr>
        <w:tabs>
          <w:tab w:val="clear" w:pos="1174"/>
          <w:tab w:val="num" w:pos="28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D1125E" w:rsidRPr="007E123F">
          <w:rPr>
            <w:rStyle w:val="Hyperlink"/>
            <w:rFonts w:ascii="Arial" w:hAnsi="Arial" w:cs="Arial"/>
            <w:i/>
            <w:iCs/>
            <w:sz w:val="22"/>
            <w:szCs w:val="22"/>
          </w:rPr>
          <w:t>Transport Operations (Marine Pollution) Regulation 2008</w:t>
        </w:r>
      </w:hyperlink>
    </w:p>
    <w:p w:rsidR="004D7943" w:rsidRPr="00D1125E" w:rsidRDefault="0086453D" w:rsidP="006B2109">
      <w:pPr>
        <w:numPr>
          <w:ilvl w:val="0"/>
          <w:numId w:val="8"/>
        </w:numPr>
        <w:tabs>
          <w:tab w:val="clear" w:pos="1174"/>
          <w:tab w:val="num" w:pos="28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8" w:history="1">
        <w:r w:rsidR="004D7943" w:rsidRPr="007E123F">
          <w:rPr>
            <w:rStyle w:val="Hyperlink"/>
            <w:rFonts w:ascii="Arial" w:hAnsi="Arial" w:cs="Arial"/>
            <w:iCs/>
            <w:sz w:val="22"/>
            <w:szCs w:val="22"/>
          </w:rPr>
          <w:t>Explanatory Notes</w:t>
        </w:r>
      </w:hyperlink>
    </w:p>
    <w:p w:rsidR="000B545C" w:rsidRPr="00490117" w:rsidRDefault="0086453D" w:rsidP="006B2109">
      <w:pPr>
        <w:numPr>
          <w:ilvl w:val="0"/>
          <w:numId w:val="8"/>
        </w:numPr>
        <w:tabs>
          <w:tab w:val="clear" w:pos="1174"/>
          <w:tab w:val="num" w:pos="28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9" w:history="1">
        <w:r w:rsidR="00D1125E" w:rsidRPr="00490117">
          <w:rPr>
            <w:rStyle w:val="Hyperlink"/>
            <w:rFonts w:ascii="Arial" w:hAnsi="Arial" w:cs="Arial"/>
            <w:sz w:val="22"/>
            <w:szCs w:val="22"/>
          </w:rPr>
          <w:t>Regulatory Impact Statement</w:t>
        </w:r>
      </w:hyperlink>
      <w:r w:rsidR="00D1125E" w:rsidRPr="00490117">
        <w:rPr>
          <w:rFonts w:ascii="Arial" w:hAnsi="Arial" w:cs="Arial"/>
          <w:sz w:val="22"/>
          <w:szCs w:val="22"/>
        </w:rPr>
        <w:t xml:space="preserve"> </w:t>
      </w:r>
    </w:p>
    <w:sectPr w:rsidR="000B545C" w:rsidRPr="00490117" w:rsidSect="00DA13AD">
      <w:headerReference w:type="default" r:id="rId10"/>
      <w:footerReference w:type="default" r:id="rId11"/>
      <w:pgSz w:w="11907" w:h="16840" w:code="9"/>
      <w:pgMar w:top="1418" w:right="1021" w:bottom="851" w:left="1021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80" w:rsidRDefault="00067E80">
      <w:r>
        <w:separator/>
      </w:r>
    </w:p>
  </w:endnote>
  <w:endnote w:type="continuationSeparator" w:id="0">
    <w:p w:rsidR="00067E80" w:rsidRDefault="0006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0B" w:rsidRPr="001141E1" w:rsidRDefault="0045600B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80" w:rsidRDefault="00067E80">
      <w:r>
        <w:separator/>
      </w:r>
    </w:p>
  </w:footnote>
  <w:footnote w:type="continuationSeparator" w:id="0">
    <w:p w:rsidR="00067E80" w:rsidRDefault="0006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0B" w:rsidRPr="000400F9" w:rsidRDefault="00940F86" w:rsidP="007E123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00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5600B">
      <w:rPr>
        <w:rFonts w:ascii="Arial" w:hAnsi="Arial" w:cs="Arial"/>
        <w:b/>
        <w:sz w:val="22"/>
        <w:szCs w:val="22"/>
        <w:u w:val="single"/>
      </w:rPr>
      <w:t>July 2008</w:t>
    </w:r>
  </w:p>
  <w:p w:rsidR="0045600B" w:rsidRDefault="0045600B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567AD">
      <w:rPr>
        <w:rFonts w:ascii="Arial" w:hAnsi="Arial" w:cs="Arial"/>
        <w:b/>
        <w:sz w:val="22"/>
        <w:szCs w:val="22"/>
        <w:u w:val="single"/>
      </w:rPr>
      <w:t xml:space="preserve">Remake of the </w:t>
    </w:r>
    <w:r w:rsidRPr="00B567AD">
      <w:rPr>
        <w:rFonts w:ascii="Arial" w:hAnsi="Arial" w:cs="Arial"/>
        <w:b/>
        <w:i/>
        <w:sz w:val="22"/>
        <w:szCs w:val="22"/>
        <w:u w:val="single"/>
      </w:rPr>
      <w:t>Transport Operations (Marine Pollution) Regulation 1995</w:t>
    </w:r>
  </w:p>
  <w:p w:rsidR="0045600B" w:rsidRDefault="0045600B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567AD">
      <w:rPr>
        <w:rFonts w:ascii="Arial" w:hAnsi="Arial" w:cs="Arial"/>
        <w:b/>
        <w:sz w:val="22"/>
        <w:szCs w:val="22"/>
        <w:u w:val="single"/>
      </w:rPr>
      <w:t>Minister for Transport, Trade, Employment and Industrial Relations</w:t>
    </w:r>
  </w:p>
  <w:p w:rsidR="0045600B" w:rsidRPr="000400F9" w:rsidRDefault="0045600B" w:rsidP="007D3715">
    <w:pPr>
      <w:pStyle w:val="Header"/>
      <w:pBdr>
        <w:bottom w:val="single" w:sz="8" w:space="1" w:color="auto"/>
      </w:pBdr>
      <w:tabs>
        <w:tab w:val="clear" w:pos="4153"/>
        <w:tab w:val="clear" w:pos="8306"/>
        <w:tab w:val="left" w:pos="3168"/>
      </w:tabs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7BC5E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540EFB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890"/>
        </w:tabs>
        <w:ind w:left="7890" w:hanging="360"/>
      </w:pPr>
    </w:lvl>
    <w:lvl w:ilvl="1">
      <w:start w:val="1"/>
      <w:numFmt w:val="decimal"/>
      <w:lvlText w:val="%2."/>
      <w:lvlJc w:val="left"/>
      <w:pPr>
        <w:tabs>
          <w:tab w:val="num" w:pos="8613"/>
        </w:tabs>
        <w:ind w:left="861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330"/>
        </w:tabs>
        <w:ind w:left="9330" w:hanging="180"/>
      </w:pPr>
    </w:lvl>
    <w:lvl w:ilvl="3">
      <w:start w:val="1"/>
      <w:numFmt w:val="decimal"/>
      <w:lvlText w:val="%4."/>
      <w:lvlJc w:val="left"/>
      <w:pPr>
        <w:tabs>
          <w:tab w:val="num" w:pos="10050"/>
        </w:tabs>
        <w:ind w:left="10050" w:hanging="360"/>
      </w:pPr>
    </w:lvl>
    <w:lvl w:ilvl="4">
      <w:start w:val="1"/>
      <w:numFmt w:val="lowerLetter"/>
      <w:lvlText w:val="%5."/>
      <w:lvlJc w:val="left"/>
      <w:pPr>
        <w:tabs>
          <w:tab w:val="num" w:pos="10770"/>
        </w:tabs>
        <w:ind w:left="10770" w:hanging="360"/>
      </w:pPr>
    </w:lvl>
    <w:lvl w:ilvl="5">
      <w:start w:val="1"/>
      <w:numFmt w:val="lowerRoman"/>
      <w:lvlText w:val="%6."/>
      <w:lvlJc w:val="right"/>
      <w:pPr>
        <w:tabs>
          <w:tab w:val="num" w:pos="11490"/>
        </w:tabs>
        <w:ind w:left="11490" w:hanging="180"/>
      </w:pPr>
    </w:lvl>
    <w:lvl w:ilvl="6">
      <w:start w:val="1"/>
      <w:numFmt w:val="decimal"/>
      <w:lvlText w:val="%7."/>
      <w:lvlJc w:val="left"/>
      <w:pPr>
        <w:tabs>
          <w:tab w:val="num" w:pos="12210"/>
        </w:tabs>
        <w:ind w:left="12210" w:hanging="360"/>
      </w:pPr>
    </w:lvl>
    <w:lvl w:ilvl="7">
      <w:start w:val="1"/>
      <w:numFmt w:val="lowerLetter"/>
      <w:lvlText w:val="%8."/>
      <w:lvlJc w:val="left"/>
      <w:pPr>
        <w:tabs>
          <w:tab w:val="num" w:pos="12930"/>
        </w:tabs>
        <w:ind w:left="12930" w:hanging="360"/>
      </w:pPr>
    </w:lvl>
    <w:lvl w:ilvl="8">
      <w:start w:val="1"/>
      <w:numFmt w:val="lowerRoman"/>
      <w:lvlText w:val="%9."/>
      <w:lvlJc w:val="right"/>
      <w:pPr>
        <w:tabs>
          <w:tab w:val="num" w:pos="13650"/>
        </w:tabs>
        <w:ind w:left="13650" w:hanging="180"/>
      </w:pPr>
    </w:lvl>
  </w:abstractNum>
  <w:abstractNum w:abstractNumId="2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F3F21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533"/>
        </w:tabs>
        <w:ind w:left="7533" w:hanging="360"/>
      </w:pPr>
    </w:lvl>
    <w:lvl w:ilvl="1">
      <w:start w:val="1"/>
      <w:numFmt w:val="decimal"/>
      <w:lvlText w:val="%2."/>
      <w:lvlJc w:val="left"/>
      <w:pPr>
        <w:tabs>
          <w:tab w:val="num" w:pos="8256"/>
        </w:tabs>
        <w:ind w:left="825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973"/>
        </w:tabs>
        <w:ind w:left="8973" w:hanging="180"/>
      </w:pPr>
    </w:lvl>
    <w:lvl w:ilvl="3">
      <w:start w:val="1"/>
      <w:numFmt w:val="decimal"/>
      <w:lvlText w:val="%4."/>
      <w:lvlJc w:val="left"/>
      <w:pPr>
        <w:tabs>
          <w:tab w:val="num" w:pos="9693"/>
        </w:tabs>
        <w:ind w:left="9693" w:hanging="360"/>
      </w:pPr>
    </w:lvl>
    <w:lvl w:ilvl="4">
      <w:start w:val="1"/>
      <w:numFmt w:val="lowerLetter"/>
      <w:lvlText w:val="%5."/>
      <w:lvlJc w:val="left"/>
      <w:pPr>
        <w:tabs>
          <w:tab w:val="num" w:pos="10413"/>
        </w:tabs>
        <w:ind w:left="10413" w:hanging="360"/>
      </w:pPr>
    </w:lvl>
    <w:lvl w:ilvl="5">
      <w:start w:val="1"/>
      <w:numFmt w:val="lowerRoman"/>
      <w:lvlText w:val="%6."/>
      <w:lvlJc w:val="right"/>
      <w:pPr>
        <w:tabs>
          <w:tab w:val="num" w:pos="11133"/>
        </w:tabs>
        <w:ind w:left="11133" w:hanging="180"/>
      </w:pPr>
    </w:lvl>
    <w:lvl w:ilvl="6">
      <w:start w:val="1"/>
      <w:numFmt w:val="decimal"/>
      <w:lvlText w:val="%7."/>
      <w:lvlJc w:val="left"/>
      <w:pPr>
        <w:tabs>
          <w:tab w:val="num" w:pos="11853"/>
        </w:tabs>
        <w:ind w:left="11853" w:hanging="360"/>
      </w:pPr>
    </w:lvl>
    <w:lvl w:ilvl="7">
      <w:start w:val="1"/>
      <w:numFmt w:val="lowerLetter"/>
      <w:lvlText w:val="%8."/>
      <w:lvlJc w:val="left"/>
      <w:pPr>
        <w:tabs>
          <w:tab w:val="num" w:pos="12573"/>
        </w:tabs>
        <w:ind w:left="12573" w:hanging="360"/>
      </w:pPr>
    </w:lvl>
    <w:lvl w:ilvl="8">
      <w:start w:val="1"/>
      <w:numFmt w:val="lowerRoman"/>
      <w:lvlText w:val="%9."/>
      <w:lvlJc w:val="right"/>
      <w:pPr>
        <w:tabs>
          <w:tab w:val="num" w:pos="13293"/>
        </w:tabs>
        <w:ind w:left="13293" w:hanging="180"/>
      </w:pPr>
    </w:lvl>
  </w:abstractNum>
  <w:abstractNum w:abstractNumId="4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C7E09"/>
    <w:multiLevelType w:val="hybridMultilevel"/>
    <w:tmpl w:val="FC6ED09C"/>
    <w:lvl w:ilvl="0" w:tplc="414EB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E0A5A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890"/>
        </w:tabs>
        <w:ind w:left="7890" w:hanging="360"/>
      </w:pPr>
    </w:lvl>
    <w:lvl w:ilvl="1">
      <w:start w:val="1"/>
      <w:numFmt w:val="decimal"/>
      <w:lvlText w:val="%2."/>
      <w:lvlJc w:val="left"/>
      <w:pPr>
        <w:tabs>
          <w:tab w:val="num" w:pos="8613"/>
        </w:tabs>
        <w:ind w:left="861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330"/>
        </w:tabs>
        <w:ind w:left="9330" w:hanging="180"/>
      </w:pPr>
    </w:lvl>
    <w:lvl w:ilvl="3">
      <w:start w:val="1"/>
      <w:numFmt w:val="decimal"/>
      <w:lvlText w:val="%4."/>
      <w:lvlJc w:val="left"/>
      <w:pPr>
        <w:tabs>
          <w:tab w:val="num" w:pos="10050"/>
        </w:tabs>
        <w:ind w:left="10050" w:hanging="360"/>
      </w:pPr>
    </w:lvl>
    <w:lvl w:ilvl="4">
      <w:start w:val="1"/>
      <w:numFmt w:val="lowerLetter"/>
      <w:lvlText w:val="%5."/>
      <w:lvlJc w:val="left"/>
      <w:pPr>
        <w:tabs>
          <w:tab w:val="num" w:pos="10770"/>
        </w:tabs>
        <w:ind w:left="10770" w:hanging="360"/>
      </w:pPr>
    </w:lvl>
    <w:lvl w:ilvl="5">
      <w:start w:val="1"/>
      <w:numFmt w:val="lowerRoman"/>
      <w:lvlText w:val="%6."/>
      <w:lvlJc w:val="right"/>
      <w:pPr>
        <w:tabs>
          <w:tab w:val="num" w:pos="11490"/>
        </w:tabs>
        <w:ind w:left="11490" w:hanging="180"/>
      </w:pPr>
    </w:lvl>
    <w:lvl w:ilvl="6">
      <w:start w:val="1"/>
      <w:numFmt w:val="decimal"/>
      <w:lvlText w:val="%7."/>
      <w:lvlJc w:val="left"/>
      <w:pPr>
        <w:tabs>
          <w:tab w:val="num" w:pos="12210"/>
        </w:tabs>
        <w:ind w:left="12210" w:hanging="360"/>
      </w:pPr>
    </w:lvl>
    <w:lvl w:ilvl="7">
      <w:start w:val="1"/>
      <w:numFmt w:val="lowerLetter"/>
      <w:lvlText w:val="%8."/>
      <w:lvlJc w:val="left"/>
      <w:pPr>
        <w:tabs>
          <w:tab w:val="num" w:pos="12930"/>
        </w:tabs>
        <w:ind w:left="12930" w:hanging="360"/>
      </w:pPr>
    </w:lvl>
    <w:lvl w:ilvl="8">
      <w:start w:val="1"/>
      <w:numFmt w:val="lowerRoman"/>
      <w:lvlText w:val="%9."/>
      <w:lvlJc w:val="right"/>
      <w:pPr>
        <w:tabs>
          <w:tab w:val="num" w:pos="13650"/>
        </w:tabs>
        <w:ind w:left="13650" w:hanging="180"/>
      </w:pPr>
    </w:lvl>
  </w:abstractNum>
  <w:abstractNum w:abstractNumId="11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7427D55"/>
    <w:multiLevelType w:val="hybridMultilevel"/>
    <w:tmpl w:val="34389514"/>
    <w:lvl w:ilvl="0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76F87"/>
    <w:multiLevelType w:val="hybridMultilevel"/>
    <w:tmpl w:val="27647658"/>
    <w:lvl w:ilvl="0" w:tplc="0C09000F">
      <w:start w:val="1"/>
      <w:numFmt w:val="decimal"/>
      <w:lvlText w:val="%1."/>
      <w:lvlJc w:val="left"/>
      <w:pPr>
        <w:tabs>
          <w:tab w:val="num" w:pos="7890"/>
        </w:tabs>
        <w:ind w:left="7890" w:hanging="360"/>
      </w:pPr>
    </w:lvl>
    <w:lvl w:ilvl="1" w:tplc="8F02EAEE">
      <w:start w:val="1"/>
      <w:numFmt w:val="decimal"/>
      <w:lvlText w:val="%2."/>
      <w:lvlJc w:val="left"/>
      <w:pPr>
        <w:tabs>
          <w:tab w:val="num" w:pos="8613"/>
        </w:tabs>
        <w:ind w:left="861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9330"/>
        </w:tabs>
        <w:ind w:left="933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050"/>
        </w:tabs>
        <w:ind w:left="1005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0770"/>
        </w:tabs>
        <w:ind w:left="1077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490"/>
        </w:tabs>
        <w:ind w:left="1149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210"/>
        </w:tabs>
        <w:ind w:left="1221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2930"/>
        </w:tabs>
        <w:ind w:left="1293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3650"/>
        </w:tabs>
        <w:ind w:left="1365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AD"/>
    <w:rsid w:val="00021B34"/>
    <w:rsid w:val="000225F9"/>
    <w:rsid w:val="000400F9"/>
    <w:rsid w:val="00067E80"/>
    <w:rsid w:val="000B545C"/>
    <w:rsid w:val="001141E1"/>
    <w:rsid w:val="00126B15"/>
    <w:rsid w:val="00133013"/>
    <w:rsid w:val="00133A34"/>
    <w:rsid w:val="00160524"/>
    <w:rsid w:val="00173AD0"/>
    <w:rsid w:val="00254E35"/>
    <w:rsid w:val="00265349"/>
    <w:rsid w:val="0027046A"/>
    <w:rsid w:val="0028053C"/>
    <w:rsid w:val="002F57E4"/>
    <w:rsid w:val="0030292B"/>
    <w:rsid w:val="0032048B"/>
    <w:rsid w:val="00346156"/>
    <w:rsid w:val="00382380"/>
    <w:rsid w:val="003A269C"/>
    <w:rsid w:val="003C3732"/>
    <w:rsid w:val="003F5C6D"/>
    <w:rsid w:val="00427CD3"/>
    <w:rsid w:val="00435BE5"/>
    <w:rsid w:val="00442B39"/>
    <w:rsid w:val="0045600B"/>
    <w:rsid w:val="0048019C"/>
    <w:rsid w:val="00486A99"/>
    <w:rsid w:val="00490117"/>
    <w:rsid w:val="004B5798"/>
    <w:rsid w:val="004D7943"/>
    <w:rsid w:val="004E2BEF"/>
    <w:rsid w:val="004E6C38"/>
    <w:rsid w:val="0056401D"/>
    <w:rsid w:val="005B1D9B"/>
    <w:rsid w:val="00603CD2"/>
    <w:rsid w:val="006100CC"/>
    <w:rsid w:val="00644076"/>
    <w:rsid w:val="006631CF"/>
    <w:rsid w:val="006B2109"/>
    <w:rsid w:val="006B3B54"/>
    <w:rsid w:val="006D0869"/>
    <w:rsid w:val="006E6713"/>
    <w:rsid w:val="007060D7"/>
    <w:rsid w:val="00726F36"/>
    <w:rsid w:val="00780A8F"/>
    <w:rsid w:val="0078652D"/>
    <w:rsid w:val="007A25F4"/>
    <w:rsid w:val="007A6599"/>
    <w:rsid w:val="007D3715"/>
    <w:rsid w:val="007E123F"/>
    <w:rsid w:val="007F52D6"/>
    <w:rsid w:val="00806748"/>
    <w:rsid w:val="00814E8D"/>
    <w:rsid w:val="0082040E"/>
    <w:rsid w:val="00845D3E"/>
    <w:rsid w:val="0086453D"/>
    <w:rsid w:val="008A198E"/>
    <w:rsid w:val="008A5F1B"/>
    <w:rsid w:val="008B7E17"/>
    <w:rsid w:val="008F44CD"/>
    <w:rsid w:val="00922A5B"/>
    <w:rsid w:val="00940F86"/>
    <w:rsid w:val="009448D4"/>
    <w:rsid w:val="009D0C12"/>
    <w:rsid w:val="009E0A8E"/>
    <w:rsid w:val="009F5476"/>
    <w:rsid w:val="00A20C0E"/>
    <w:rsid w:val="00A30F55"/>
    <w:rsid w:val="00A718C8"/>
    <w:rsid w:val="00AA128C"/>
    <w:rsid w:val="00AB6637"/>
    <w:rsid w:val="00AE1995"/>
    <w:rsid w:val="00AF4540"/>
    <w:rsid w:val="00B170D6"/>
    <w:rsid w:val="00B236EF"/>
    <w:rsid w:val="00B36CF5"/>
    <w:rsid w:val="00B40BDF"/>
    <w:rsid w:val="00B425CB"/>
    <w:rsid w:val="00B567AD"/>
    <w:rsid w:val="00C0628A"/>
    <w:rsid w:val="00C07656"/>
    <w:rsid w:val="00C85B71"/>
    <w:rsid w:val="00CE6FBA"/>
    <w:rsid w:val="00CF3E25"/>
    <w:rsid w:val="00D032ED"/>
    <w:rsid w:val="00D1125E"/>
    <w:rsid w:val="00D832FD"/>
    <w:rsid w:val="00DA13AD"/>
    <w:rsid w:val="00DD3CD5"/>
    <w:rsid w:val="00DD497C"/>
    <w:rsid w:val="00DF127E"/>
    <w:rsid w:val="00E017FB"/>
    <w:rsid w:val="00E04E0E"/>
    <w:rsid w:val="00E10028"/>
    <w:rsid w:val="00E26D70"/>
    <w:rsid w:val="00E463C2"/>
    <w:rsid w:val="00E57D8B"/>
    <w:rsid w:val="00EA00BF"/>
    <w:rsid w:val="00F71635"/>
    <w:rsid w:val="00F756F8"/>
    <w:rsid w:val="00F768D9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7E123F"/>
    <w:rPr>
      <w:color w:val="0000FF"/>
      <w:u w:val="single"/>
    </w:rPr>
  </w:style>
  <w:style w:type="paragraph" w:styleId="List">
    <w:name w:val="List"/>
    <w:basedOn w:val="Normal"/>
    <w:rsid w:val="009E0A8E"/>
    <w:pPr>
      <w:ind w:left="283" w:hanging="283"/>
    </w:pPr>
  </w:style>
  <w:style w:type="paragraph" w:styleId="List2">
    <w:name w:val="List 2"/>
    <w:basedOn w:val="Normal"/>
    <w:rsid w:val="009E0A8E"/>
    <w:pPr>
      <w:ind w:left="566" w:hanging="283"/>
    </w:pPr>
  </w:style>
  <w:style w:type="paragraph" w:styleId="ListBullet2">
    <w:name w:val="List Bullet 2"/>
    <w:basedOn w:val="Normal"/>
    <w:rsid w:val="009E0A8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Transport%20Operations%20Marine%20Pollution%20Reg%20EXP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Transport%20Operations%20Marine%20Pollution%20Regul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IS%20Transport%20Operations%20Marine%20Pollution%20Regula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1947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2278</CharactersWithSpaces>
  <SharedDoc>false</SharedDoc>
  <HyperlinkBase>https://www.cabinet.qld.gov.au/documents/2008/Jul/Transport marine pollution regulation/</HyperlinkBase>
  <HLinks>
    <vt:vector size="18" baseType="variant">
      <vt:variant>
        <vt:i4>5701661</vt:i4>
      </vt:variant>
      <vt:variant>
        <vt:i4>6</vt:i4>
      </vt:variant>
      <vt:variant>
        <vt:i4>0</vt:i4>
      </vt:variant>
      <vt:variant>
        <vt:i4>5</vt:i4>
      </vt:variant>
      <vt:variant>
        <vt:lpwstr>attachments/RIS Transport Operations Marine Pollution Regulation.pdf</vt:lpwstr>
      </vt:variant>
      <vt:variant>
        <vt:lpwstr/>
      </vt:variant>
      <vt:variant>
        <vt:i4>3932276</vt:i4>
      </vt:variant>
      <vt:variant>
        <vt:i4>3</vt:i4>
      </vt:variant>
      <vt:variant>
        <vt:i4>0</vt:i4>
      </vt:variant>
      <vt:variant>
        <vt:i4>5</vt:i4>
      </vt:variant>
      <vt:variant>
        <vt:lpwstr>attachments/Transport Operations Marine Pollution Reg EXPNOTES.pdf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attachments/Transport Operations Marine Pollution 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sea pollution</cp:keywords>
  <dc:description/>
  <cp:lastModifiedBy/>
  <cp:revision>2</cp:revision>
  <cp:lastPrinted>2008-10-16T08:09:00Z</cp:lastPrinted>
  <dcterms:created xsi:type="dcterms:W3CDTF">2017-10-24T07:45:00Z</dcterms:created>
  <dcterms:modified xsi:type="dcterms:W3CDTF">2018-03-06T00:52:00Z</dcterms:modified>
  <cp:category>Transport</cp:category>
</cp:coreProperties>
</file>